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BDE8B" w14:textId="65D61F48" w:rsidR="000A4B61" w:rsidRPr="001C0F47" w:rsidRDefault="000A4B61" w:rsidP="00B93FE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30475">
        <w:rPr>
          <w:b/>
          <w:sz w:val="24"/>
        </w:rPr>
        <w:t>3GPP TSG-RAN WG2 Meeting #1</w:t>
      </w:r>
      <w:r w:rsidR="006F1E86">
        <w:rPr>
          <w:b/>
          <w:sz w:val="24"/>
        </w:rPr>
        <w:t>3</w:t>
      </w:r>
      <w:r w:rsidR="00F26189">
        <w:rPr>
          <w:b/>
          <w:sz w:val="24"/>
        </w:rPr>
        <w:t>1</w:t>
      </w:r>
      <w:r w:rsidRPr="00982A60">
        <w:rPr>
          <w:b/>
          <w:sz w:val="24"/>
        </w:rPr>
        <w:tab/>
      </w:r>
      <w:r w:rsidR="005E2261" w:rsidRPr="005E2261">
        <w:rPr>
          <w:b/>
          <w:sz w:val="24"/>
        </w:rPr>
        <w:t>R2-2505436</w:t>
      </w:r>
    </w:p>
    <w:p w14:paraId="4826E75F" w14:textId="3EA3FCE5" w:rsidR="00AF4438" w:rsidRDefault="00F26189" w:rsidP="00B93FE4">
      <w:pPr>
        <w:tabs>
          <w:tab w:val="left" w:pos="1985"/>
          <w:tab w:val="right" w:pos="9639"/>
        </w:tabs>
        <w:spacing w:after="180"/>
        <w:jc w:val="both"/>
        <w:rPr>
          <w:rFonts w:ascii="Arial" w:eastAsia="SimSun" w:hAnsi="Arial" w:cs="Arial"/>
          <w:b/>
          <w:noProof/>
          <w:sz w:val="22"/>
          <w:szCs w:val="22"/>
        </w:rPr>
      </w:pPr>
      <w:r w:rsidRPr="00F26189">
        <w:rPr>
          <w:rFonts w:ascii="Arial" w:eastAsia="SimSun" w:hAnsi="Arial" w:cs="Arial"/>
          <w:b/>
          <w:noProof/>
          <w:sz w:val="24"/>
          <w:lang w:eastAsia="zh-CN"/>
        </w:rPr>
        <w:t>Bengaluru, India, 25-29 August, 2025</w:t>
      </w:r>
    </w:p>
    <w:p w14:paraId="178714C3" w14:textId="627B08A3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SimSun" w:hAnsi="Arial" w:cs="Arial"/>
          <w:sz w:val="22"/>
          <w:lang w:eastAsia="zh-CN"/>
        </w:rPr>
        <w:t>, HiSilicon</w:t>
      </w:r>
    </w:p>
    <w:p w14:paraId="343429DF" w14:textId="0CFEE297" w:rsidR="00AF4438" w:rsidRDefault="00AF4438" w:rsidP="00B93FE4">
      <w:pPr>
        <w:spacing w:after="180"/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Pr="00AF4438">
        <w:rPr>
          <w:rFonts w:ascii="Arial" w:hAnsi="Arial" w:cs="Arial"/>
          <w:sz w:val="22"/>
        </w:rPr>
        <w:t>Discussion on Uplink Capacity Enhancements</w:t>
      </w:r>
    </w:p>
    <w:p w14:paraId="50373038" w14:textId="38D0796C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Pr="00AF4438">
        <w:rPr>
          <w:rFonts w:ascii="Arial" w:hAnsi="Arial" w:cs="Arial"/>
          <w:sz w:val="22"/>
        </w:rPr>
        <w:t>8.8.3</w:t>
      </w:r>
    </w:p>
    <w:p w14:paraId="7041B6DF" w14:textId="77777777" w:rsidR="00AF4438" w:rsidRDefault="00AF4438" w:rsidP="00B93FE4">
      <w:pPr>
        <w:tabs>
          <w:tab w:val="left" w:pos="1985"/>
        </w:tabs>
        <w:spacing w:after="180"/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r>
        <w:rPr>
          <w:rFonts w:ascii="Arial" w:eastAsia="SimSun" w:hAnsi="Arial" w:cs="Arial"/>
          <w:sz w:val="22"/>
          <w:lang w:eastAsia="zh-CN"/>
        </w:rPr>
        <w:t>Discussion and decision</w:t>
      </w:r>
    </w:p>
    <w:p w14:paraId="102DEFE8" w14:textId="6C2D324D" w:rsidR="00D92FCA" w:rsidRPr="00D92FCA" w:rsidRDefault="00D92FCA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1</w:t>
      </w:r>
      <w:r w:rsidRPr="00D92FCA">
        <w:rPr>
          <w:lang w:eastAsia="de-DE"/>
        </w:rPr>
        <w:tab/>
      </w:r>
      <w:r>
        <w:rPr>
          <w:lang w:eastAsia="de-DE"/>
        </w:rPr>
        <w:t>Introduction</w:t>
      </w:r>
    </w:p>
    <w:p w14:paraId="178A2EF2" w14:textId="73DA7EE3" w:rsidR="00F541BA" w:rsidRDefault="00B60022" w:rsidP="00716422">
      <w:pPr>
        <w:spacing w:after="180"/>
      </w:pPr>
      <w:bookmarkStart w:id="0" w:name="_Toc499559238"/>
      <w:bookmarkStart w:id="1" w:name="_Toc61387172"/>
      <w:bookmarkStart w:id="2" w:name="_Toc147158671"/>
      <w:r>
        <w:t xml:space="preserve">The NR NTN WID includes the uplink capacity enhancement as follows </w:t>
      </w:r>
      <w:r w:rsidR="00A6704E">
        <w:t>[1]</w:t>
      </w:r>
      <w:r w:rsidR="00191DA1">
        <w:fldChar w:fldCharType="begin"/>
      </w:r>
      <w:r w:rsidR="00191DA1">
        <w:instrText xml:space="preserve"> REF _Ref173428202 \r \h </w:instrText>
      </w:r>
      <w:r w:rsidR="00191DA1">
        <w:fldChar w:fldCharType="end"/>
      </w:r>
      <w:r w:rsidR="00F541B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64D7" w14:paraId="0E395C12" w14:textId="77777777" w:rsidTr="001F64D7">
        <w:tc>
          <w:tcPr>
            <w:tcW w:w="9629" w:type="dxa"/>
          </w:tcPr>
          <w:p w14:paraId="668E6F8A" w14:textId="77777777" w:rsidR="001F64D7" w:rsidRPr="001F64D7" w:rsidRDefault="001F64D7" w:rsidP="00117EAB">
            <w:pPr>
              <w:numPr>
                <w:ilvl w:val="0"/>
                <w:numId w:val="20"/>
              </w:numPr>
              <w:spacing w:line="276" w:lineRule="auto"/>
              <w:rPr>
                <w:rFonts w:eastAsia="Calibri"/>
                <w:lang w:val="en-US" w:eastAsia="ko-KR"/>
              </w:rPr>
            </w:pPr>
            <w:r w:rsidRPr="001F64D7">
              <w:rPr>
                <w:lang w:val="en-US" w:eastAsia="ko-KR"/>
              </w:rPr>
              <w:t>Uplink Capacity/Cell Throughput Enhancement for FR1-NTN [RAN1, RAN2, RAN4]</w:t>
            </w:r>
          </w:p>
          <w:p w14:paraId="0159FD4B" w14:textId="77777777" w:rsidR="001F64D7" w:rsidRPr="001F64D7" w:rsidRDefault="001F64D7" w:rsidP="00117EAB">
            <w:pPr>
              <w:widowControl w:val="0"/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rFonts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 xml:space="preserve">Specify Orthogonal Cover Codes (OCC) for DFT-s-OFDM PUSCH at least for multiplexing 2 or 4 UEs when PUSCH repetitions are used </w:t>
            </w:r>
          </w:p>
          <w:p w14:paraId="7456D8E5" w14:textId="77777777" w:rsidR="001F64D7" w:rsidRPr="001F64D7" w:rsidRDefault="001F64D7" w:rsidP="00117EAB">
            <w:pPr>
              <w:widowControl w:val="0"/>
              <w:numPr>
                <w:ilvl w:val="1"/>
                <w:numId w:val="21"/>
              </w:numPr>
              <w:spacing w:line="276" w:lineRule="auto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 xml:space="preserve">Specify necessary </w:t>
            </w:r>
            <w:proofErr w:type="spellStart"/>
            <w:r w:rsidRPr="001F64D7">
              <w:rPr>
                <w:rFonts w:eastAsia="Calibri" w:cs="Calibri"/>
                <w:lang w:val="en-US" w:eastAsia="zh-CN"/>
              </w:rPr>
              <w:t>signalling</w:t>
            </w:r>
            <w:proofErr w:type="spellEnd"/>
            <w:r w:rsidRPr="001F64D7">
              <w:rPr>
                <w:rFonts w:eastAsia="Calibri" w:cs="Calibri"/>
                <w:lang w:val="en-US" w:eastAsia="zh-CN"/>
              </w:rPr>
              <w:t xml:space="preserve"> </w:t>
            </w:r>
          </w:p>
          <w:p w14:paraId="42CBC14E" w14:textId="77777777" w:rsidR="001F64D7" w:rsidRPr="001F64D7" w:rsidRDefault="001F64D7" w:rsidP="00117EAB">
            <w:pPr>
              <w:widowControl w:val="0"/>
              <w:numPr>
                <w:ilvl w:val="1"/>
                <w:numId w:val="21"/>
              </w:numPr>
              <w:spacing w:line="276" w:lineRule="auto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>Update RF requirements accordingly, if needed</w:t>
            </w:r>
          </w:p>
          <w:p w14:paraId="1DC392F2" w14:textId="77777777" w:rsidR="001F64D7" w:rsidRPr="001F64D7" w:rsidRDefault="001F64D7" w:rsidP="00117EAB">
            <w:pPr>
              <w:widowControl w:val="0"/>
              <w:numPr>
                <w:ilvl w:val="0"/>
                <w:numId w:val="21"/>
              </w:numPr>
              <w:spacing w:line="276" w:lineRule="auto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>Notes for this objective:</w:t>
            </w:r>
          </w:p>
          <w:p w14:paraId="72E91DEF" w14:textId="77777777" w:rsidR="001F64D7" w:rsidRPr="001F64D7" w:rsidRDefault="001F64D7" w:rsidP="00117EAB">
            <w:pPr>
              <w:widowControl w:val="0"/>
              <w:numPr>
                <w:ilvl w:val="1"/>
                <w:numId w:val="21"/>
              </w:numPr>
              <w:spacing w:line="276" w:lineRule="auto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>The enhancement is not targeting improvements/impacts of MU-MIMO capability</w:t>
            </w:r>
          </w:p>
          <w:p w14:paraId="742E59B9" w14:textId="77777777" w:rsidR="001F64D7" w:rsidRPr="001F64D7" w:rsidRDefault="001F64D7" w:rsidP="00117EAB">
            <w:pPr>
              <w:widowControl w:val="0"/>
              <w:numPr>
                <w:ilvl w:val="1"/>
                <w:numId w:val="21"/>
              </w:numPr>
              <w:spacing w:line="276" w:lineRule="auto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>The enhancement is not targeted to PUSCH DMRS</w:t>
            </w:r>
          </w:p>
          <w:p w14:paraId="313510CF" w14:textId="77777777" w:rsidR="001F64D7" w:rsidRPr="001F64D7" w:rsidRDefault="001F64D7" w:rsidP="00117EAB">
            <w:pPr>
              <w:widowControl w:val="0"/>
              <w:numPr>
                <w:ilvl w:val="1"/>
                <w:numId w:val="21"/>
              </w:numPr>
              <w:spacing w:line="276" w:lineRule="auto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>No enhancement for initial access</w:t>
            </w:r>
          </w:p>
          <w:p w14:paraId="5BD29FC0" w14:textId="77777777" w:rsidR="001F64D7" w:rsidRPr="001F64D7" w:rsidRDefault="001F64D7" w:rsidP="00117EAB">
            <w:pPr>
              <w:widowControl w:val="0"/>
              <w:numPr>
                <w:ilvl w:val="1"/>
                <w:numId w:val="21"/>
              </w:numPr>
              <w:spacing w:line="276" w:lineRule="auto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>Enhancements to PRACH are not in scope.</w:t>
            </w:r>
          </w:p>
          <w:p w14:paraId="7AE3BF93" w14:textId="34BED2EA" w:rsidR="001F64D7" w:rsidRPr="001F64D7" w:rsidRDefault="001F64D7" w:rsidP="00117EAB">
            <w:pPr>
              <w:widowControl w:val="0"/>
              <w:numPr>
                <w:ilvl w:val="1"/>
                <w:numId w:val="21"/>
              </w:numPr>
              <w:spacing w:line="276" w:lineRule="auto"/>
              <w:contextualSpacing/>
              <w:jc w:val="both"/>
              <w:rPr>
                <w:rFonts w:eastAsia="Calibri" w:cs="Calibri"/>
                <w:lang w:val="en-US" w:eastAsia="zh-CN"/>
              </w:rPr>
            </w:pPr>
            <w:r w:rsidRPr="001F64D7">
              <w:rPr>
                <w:rFonts w:eastAsia="Calibri" w:cs="Calibri"/>
                <w:lang w:val="en-US" w:eastAsia="zh-CN"/>
              </w:rPr>
              <w:t>This feature may be applicable for UEs operating in terrestrial networks based on a common design</w:t>
            </w:r>
          </w:p>
        </w:tc>
      </w:tr>
    </w:tbl>
    <w:p w14:paraId="1ACAE038" w14:textId="129502AE" w:rsidR="00176F02" w:rsidRDefault="00B60022" w:rsidP="00716422">
      <w:pPr>
        <w:spacing w:before="180" w:after="180"/>
      </w:pPr>
      <w:r>
        <w:t xml:space="preserve">RAN1 discussed this objective for several meetings. </w:t>
      </w:r>
      <w:r w:rsidR="00176F02">
        <w:t xml:space="preserve">In RAN1#119, RAN1 agreed to support inter-slot OCC for length 2 and length 4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10C0" w14:paraId="4F050ABE" w14:textId="77777777" w:rsidTr="00E410C0">
        <w:tc>
          <w:tcPr>
            <w:tcW w:w="9629" w:type="dxa"/>
          </w:tcPr>
          <w:p w14:paraId="0DEC4986" w14:textId="77777777" w:rsidR="00176F02" w:rsidRPr="00E069E4" w:rsidRDefault="00176F02" w:rsidP="00176F02">
            <w:pPr>
              <w:rPr>
                <w:rFonts w:cs="Times"/>
                <w:color w:val="000000"/>
                <w:kern w:val="24"/>
              </w:rPr>
            </w:pPr>
            <w:r w:rsidRPr="00E069E4">
              <w:rPr>
                <w:rFonts w:cs="Times"/>
                <w:highlight w:val="green"/>
              </w:rPr>
              <w:t>Agreement</w:t>
            </w:r>
          </w:p>
          <w:p w14:paraId="3CCD5134" w14:textId="77777777" w:rsidR="00176F02" w:rsidRPr="00E069E4" w:rsidRDefault="00176F02" w:rsidP="00176F02">
            <w:pPr>
              <w:rPr>
                <w:rFonts w:eastAsia="DengXian" w:cs="Times"/>
              </w:rPr>
            </w:pPr>
            <w:r w:rsidRPr="00E069E4">
              <w:rPr>
                <w:rFonts w:cs="Times"/>
              </w:rPr>
              <w:t>RAN1 to confirm the working assumption of RAN1#118bis with revisions as follows:</w:t>
            </w:r>
          </w:p>
          <w:p w14:paraId="2BB10239" w14:textId="77777777" w:rsidR="00176F02" w:rsidRPr="00176F02" w:rsidRDefault="00176F02" w:rsidP="00117EA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Times"/>
                <w:highlight w:val="yellow"/>
                <w:lang w:eastAsia="x-none"/>
              </w:rPr>
            </w:pPr>
            <w:r w:rsidRPr="00176F02">
              <w:rPr>
                <w:rFonts w:cs="Times"/>
                <w:highlight w:val="yellow"/>
                <w:lang w:eastAsia="x-none"/>
              </w:rPr>
              <w:t>Support OCC length 2 with inter-slot OCC to multiplex up to 2 UEs.</w:t>
            </w:r>
          </w:p>
          <w:p w14:paraId="40AEFF60" w14:textId="77777777" w:rsidR="00176F02" w:rsidRPr="00176F02" w:rsidRDefault="00176F02" w:rsidP="00117EA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Times"/>
                <w:highlight w:val="yellow"/>
                <w:lang w:eastAsia="x-none"/>
              </w:rPr>
            </w:pPr>
            <w:r w:rsidRPr="00176F02">
              <w:rPr>
                <w:rFonts w:cs="Times"/>
                <w:highlight w:val="yellow"/>
                <w:lang w:eastAsia="x-none"/>
              </w:rPr>
              <w:t>Support Option 1: inter-slot OCC with OCC length 4 to multiplex up to 4 UEs using Hadamard sequences</w:t>
            </w:r>
          </w:p>
          <w:p w14:paraId="1487E855" w14:textId="77777777" w:rsidR="00176F02" w:rsidRPr="00E069E4" w:rsidRDefault="00176F02" w:rsidP="00117EA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Times"/>
                <w:lang w:eastAsia="x-none"/>
              </w:rPr>
            </w:pPr>
            <w:r w:rsidRPr="00E069E4">
              <w:rPr>
                <w:rFonts w:cs="Times"/>
                <w:lang w:eastAsia="x-none"/>
              </w:rPr>
              <w:t>RAN1 does not pursue Option 2: Intra-symbol pre-DFT OCC with OCC length 4 to multiplex up to 4 UEs.</w:t>
            </w:r>
          </w:p>
          <w:p w14:paraId="3CE8D248" w14:textId="77777777" w:rsidR="00176F02" w:rsidRPr="00E069E4" w:rsidRDefault="00176F02" w:rsidP="00117EA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cs="Times"/>
                <w:lang w:eastAsia="x-none"/>
              </w:rPr>
            </w:pPr>
            <w:r w:rsidRPr="00E069E4">
              <w:rPr>
                <w:rFonts w:cs="Times"/>
                <w:lang w:eastAsia="x-none"/>
              </w:rPr>
              <w:t>RAN1 does not pursue Option 3: Combination of Inter-slot OCC with OCC length 2 and intra-symbol pre-DFT OCC with OCC length 2 to multiplex up to 4 UEs.</w:t>
            </w:r>
          </w:p>
          <w:p w14:paraId="4AD7DFFC" w14:textId="77777777" w:rsidR="00176F02" w:rsidRPr="00E069E4" w:rsidRDefault="00176F02" w:rsidP="00176F02">
            <w:pPr>
              <w:tabs>
                <w:tab w:val="num" w:pos="720"/>
                <w:tab w:val="left" w:pos="1701"/>
              </w:tabs>
              <w:rPr>
                <w:rFonts w:eastAsia="Calibri" w:cs="Times"/>
              </w:rPr>
            </w:pPr>
            <w:r w:rsidRPr="00E069E4">
              <w:rPr>
                <w:rFonts w:eastAsia="Calibri" w:cs="Times"/>
              </w:rPr>
              <w:t>Note 1: there will be separate UE capabilities for OCC length 2 and OCC length 4, where UE capability for OCC length 2 is a prerequisite for UE capability for OCC length 4.</w:t>
            </w:r>
          </w:p>
          <w:p w14:paraId="56B8997E" w14:textId="77777777" w:rsidR="00176F02" w:rsidRPr="00E069E4" w:rsidRDefault="00176F02" w:rsidP="00176F02">
            <w:pPr>
              <w:rPr>
                <w:rFonts w:eastAsia="SimSun" w:cs="Times"/>
                <w:szCs w:val="20"/>
              </w:rPr>
            </w:pPr>
            <w:r w:rsidRPr="00E069E4">
              <w:rPr>
                <w:rFonts w:cs="Times"/>
                <w:szCs w:val="20"/>
              </w:rPr>
              <w:t xml:space="preserve">Note 2: </w:t>
            </w:r>
            <w:proofErr w:type="spellStart"/>
            <w:r w:rsidRPr="00E069E4">
              <w:rPr>
                <w:rFonts w:eastAsia="SimSun" w:cs="Times"/>
                <w:szCs w:val="20"/>
              </w:rPr>
              <w:t>gNB</w:t>
            </w:r>
            <w:proofErr w:type="spellEnd"/>
            <w:r w:rsidRPr="00E069E4">
              <w:rPr>
                <w:rFonts w:eastAsia="SimSun" w:cs="Times"/>
                <w:szCs w:val="20"/>
              </w:rPr>
              <w:t xml:space="preserve"> can ensure the performance of Option 1 by UE grouping with similar CFO (e.g. maximum differential CFO of 50 or 100 Hz or 200 Hz). Without CFO grouping (e.g. maximum differential CFO of 400 Hz), the performance of option 1 is degraded</w:t>
            </w:r>
            <w:r w:rsidRPr="00E069E4">
              <w:rPr>
                <w:rFonts w:cs="Times"/>
                <w:szCs w:val="20"/>
              </w:rPr>
              <w:t xml:space="preserve"> by at least 1 dB in several cases</w:t>
            </w:r>
            <w:r w:rsidRPr="00E069E4">
              <w:rPr>
                <w:rFonts w:eastAsia="SimSun" w:cs="Times"/>
                <w:szCs w:val="20"/>
              </w:rPr>
              <w:t>. For CFO grouping, several companies in RAN1 state that CFO grouping is feasible based on network implementation without any new specification impact.</w:t>
            </w:r>
          </w:p>
          <w:p w14:paraId="02E5538A" w14:textId="77777777" w:rsidR="00176F02" w:rsidRPr="00E069E4" w:rsidRDefault="00176F02" w:rsidP="00117EA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SimSun" w:cs="Times"/>
              </w:rPr>
            </w:pPr>
            <w:r w:rsidRPr="00E069E4">
              <w:rPr>
                <w:rFonts w:eastAsia="SimSun" w:cs="Times"/>
              </w:rPr>
              <w:t xml:space="preserve">RAN1 assumes no specification impact for </w:t>
            </w:r>
            <w:r w:rsidRPr="00E069E4">
              <w:rPr>
                <w:rFonts w:eastAsia="SimSun" w:cs="Times"/>
                <w:szCs w:val="20"/>
              </w:rPr>
              <w:t>CFO grouping</w:t>
            </w:r>
          </w:p>
          <w:p w14:paraId="32C283AA" w14:textId="77777777" w:rsidR="00176F02" w:rsidRPr="00E069E4" w:rsidRDefault="00176F02" w:rsidP="00117EA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SimSun" w:cs="Times"/>
              </w:rPr>
            </w:pPr>
            <w:r w:rsidRPr="00E069E4">
              <w:rPr>
                <w:rFonts w:eastAsia="SimSun" w:cs="Times"/>
              </w:rPr>
              <w:t>RAN1 does not pursue closed-loop frequency adjustment commands.</w:t>
            </w:r>
          </w:p>
          <w:p w14:paraId="6B41E2E1" w14:textId="77777777" w:rsidR="00176F02" w:rsidRPr="00E069E4" w:rsidRDefault="00176F02" w:rsidP="00117EA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SimSun" w:cs="Times"/>
              </w:rPr>
            </w:pPr>
            <w:r w:rsidRPr="00E069E4">
              <w:rPr>
                <w:rFonts w:eastAsia="SimSun" w:cs="Times"/>
              </w:rPr>
              <w:t>RAN1 assumes that RAN4 does not define new UE requirements for CFO.</w:t>
            </w:r>
          </w:p>
          <w:p w14:paraId="0BB2376D" w14:textId="6508D290" w:rsidR="00176F02" w:rsidRPr="00176F02" w:rsidRDefault="00176F02" w:rsidP="00176F02"/>
        </w:tc>
      </w:tr>
    </w:tbl>
    <w:p w14:paraId="555E720B" w14:textId="77777777" w:rsidR="00266393" w:rsidRPr="00262BB9" w:rsidRDefault="00C50ECE" w:rsidP="00266393">
      <w:pPr>
        <w:pStyle w:val="BodyText"/>
        <w:spacing w:beforeLines="50" w:before="120"/>
        <w:rPr>
          <w:rFonts w:eastAsia="SimSun"/>
          <w:bCs/>
          <w:iCs/>
          <w:sz w:val="22"/>
          <w:szCs w:val="22"/>
          <w:lang w:eastAsia="zh-CN"/>
        </w:rPr>
      </w:pPr>
      <w:r>
        <w:t>In RAN1#120b</w:t>
      </w:r>
      <w:r w:rsidR="00E33A57" w:rsidRPr="00266393">
        <w:rPr>
          <w:rFonts w:eastAsia="Batang"/>
        </w:rPr>
        <w:t>is</w:t>
      </w:r>
      <w:r w:rsidR="00D95019" w:rsidRPr="00266393">
        <w:rPr>
          <w:rFonts w:eastAsia="Batang"/>
        </w:rPr>
        <w:t xml:space="preserve"> [3]</w:t>
      </w:r>
      <w:r w:rsidRPr="00266393">
        <w:rPr>
          <w:rFonts w:eastAsia="Batang"/>
        </w:rPr>
        <w:t xml:space="preserve">, </w:t>
      </w:r>
      <w:r w:rsidR="00266393" w:rsidRPr="00266393">
        <w:rPr>
          <w:rFonts w:eastAsia="Batang"/>
        </w:rPr>
        <w:t xml:space="preserve">the following conclusions and agreements were made: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68FD" w14:paraId="7BCFB6B9" w14:textId="77777777" w:rsidTr="009729DB">
        <w:tc>
          <w:tcPr>
            <w:tcW w:w="9629" w:type="dxa"/>
          </w:tcPr>
          <w:p w14:paraId="5E639C83" w14:textId="77777777" w:rsidR="00266393" w:rsidRPr="00743FA2" w:rsidRDefault="00266393" w:rsidP="00266393">
            <w:pPr>
              <w:rPr>
                <w:b/>
                <w:bCs/>
                <w:iCs/>
                <w:szCs w:val="20"/>
                <w:lang w:val="en-US"/>
              </w:rPr>
            </w:pPr>
            <w:r w:rsidRPr="00743FA2">
              <w:rPr>
                <w:b/>
                <w:bCs/>
                <w:iCs/>
                <w:szCs w:val="20"/>
                <w:highlight w:val="green"/>
                <w:lang w:val="en-US"/>
              </w:rPr>
              <w:t>Agreement</w:t>
            </w:r>
          </w:p>
          <w:p w14:paraId="2E7848A0" w14:textId="77777777" w:rsidR="00266393" w:rsidRPr="00743FA2" w:rsidRDefault="00266393" w:rsidP="00266393">
            <w:pPr>
              <w:ind w:firstLineChars="100" w:firstLine="200"/>
              <w:rPr>
                <w:iCs/>
                <w:szCs w:val="20"/>
                <w:lang w:val="en-US"/>
              </w:rPr>
            </w:pPr>
            <w:r w:rsidRPr="00266393">
              <w:rPr>
                <w:iCs/>
                <w:szCs w:val="20"/>
                <w:highlight w:val="yellow"/>
                <w:lang w:val="en-US"/>
              </w:rPr>
              <w:t>OCC length and OCC sequence for OCC with CG PUSCH Type 1 is configured by RRC higher-layers.</w:t>
            </w:r>
          </w:p>
          <w:p w14:paraId="5786DF57" w14:textId="77777777" w:rsidR="00266393" w:rsidRPr="00FA724B" w:rsidRDefault="00266393" w:rsidP="00266393">
            <w:pPr>
              <w:numPr>
                <w:ilvl w:val="0"/>
                <w:numId w:val="28"/>
              </w:numPr>
              <w:rPr>
                <w:iCs/>
              </w:rPr>
            </w:pPr>
            <w:r w:rsidRPr="00FA724B">
              <w:rPr>
                <w:rFonts w:hint="eastAsia"/>
                <w:iCs/>
              </w:rPr>
              <w:t>U</w:t>
            </w:r>
            <w:r w:rsidRPr="00FA724B">
              <w:rPr>
                <w:iCs/>
              </w:rPr>
              <w:t>p to RAN2 whether to signal this with one or two RRC parameters</w:t>
            </w:r>
          </w:p>
          <w:p w14:paraId="6C32F5CD" w14:textId="77777777" w:rsidR="00266393" w:rsidRPr="00FA724B" w:rsidRDefault="00266393" w:rsidP="00266393">
            <w:pPr>
              <w:numPr>
                <w:ilvl w:val="0"/>
                <w:numId w:val="28"/>
              </w:numPr>
              <w:rPr>
                <w:iCs/>
              </w:rPr>
            </w:pPr>
            <w:r w:rsidRPr="00FA724B">
              <w:rPr>
                <w:rFonts w:hint="eastAsia"/>
                <w:iCs/>
              </w:rPr>
              <w:t>N</w:t>
            </w:r>
            <w:r w:rsidRPr="00FA724B">
              <w:rPr>
                <w:iCs/>
              </w:rPr>
              <w:t>ote: OCC lengths and sequences to be provided in the table of RRC parameters to be prepared by the WI rapporteur</w:t>
            </w:r>
          </w:p>
          <w:p w14:paraId="07B24DE9" w14:textId="77777777" w:rsidR="00266393" w:rsidRPr="00266393" w:rsidRDefault="00266393" w:rsidP="00F868FD">
            <w:pPr>
              <w:jc w:val="both"/>
              <w:rPr>
                <w:b/>
                <w:highlight w:val="green"/>
              </w:rPr>
            </w:pPr>
          </w:p>
          <w:p w14:paraId="4876838D" w14:textId="6BCF385E" w:rsidR="00F868FD" w:rsidRPr="00661AD4" w:rsidRDefault="00F868FD" w:rsidP="00F868FD">
            <w:pPr>
              <w:jc w:val="both"/>
              <w:rPr>
                <w:b/>
              </w:rPr>
            </w:pPr>
            <w:r w:rsidRPr="00661AD4">
              <w:rPr>
                <w:b/>
                <w:highlight w:val="green"/>
              </w:rPr>
              <w:t>Agreement</w:t>
            </w:r>
          </w:p>
          <w:p w14:paraId="05A18BB2" w14:textId="77777777" w:rsidR="00F868FD" w:rsidRDefault="00F868FD" w:rsidP="00F868FD">
            <w:pPr>
              <w:rPr>
                <w:rFonts w:eastAsia="Times New Roman"/>
                <w:iCs/>
                <w:bdr w:val="none" w:sz="0" w:space="0" w:color="auto" w:frame="1"/>
                <w:lang w:eastAsia="zh-CN"/>
              </w:rPr>
            </w:pPr>
            <w:r w:rsidRPr="005F383E">
              <w:rPr>
                <w:rFonts w:eastAsia="Times New Roman"/>
                <w:iCs/>
                <w:highlight w:val="yellow"/>
                <w:bdr w:val="none" w:sz="0" w:space="0" w:color="auto" w:frame="1"/>
                <w:lang w:eastAsia="zh-CN"/>
              </w:rPr>
              <w:t>For the OCC sequence applied for OCC DG PUSCH and CG PUSCH Type 2, the sequence is indicated dynamically in DCI</w:t>
            </w:r>
          </w:p>
          <w:p w14:paraId="0E555CA4" w14:textId="32634302" w:rsidR="00F868FD" w:rsidRPr="00266393" w:rsidRDefault="00F868FD" w:rsidP="009729D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rPr>
                <w:rFonts w:eastAsia="SimSun" w:cs="Times"/>
              </w:rPr>
            </w:pPr>
            <w:r w:rsidRPr="00266393">
              <w:rPr>
                <w:rFonts w:eastAsia="SimSun" w:cs="Times" w:hint="eastAsia"/>
              </w:rPr>
              <w:t>F</w:t>
            </w:r>
            <w:r w:rsidRPr="00266393">
              <w:rPr>
                <w:rFonts w:eastAsia="SimSun" w:cs="Times"/>
              </w:rPr>
              <w:t>FS: with a new field or reusing an existing field</w:t>
            </w:r>
            <w:r w:rsidR="00266393">
              <w:rPr>
                <w:rFonts w:eastAsia="SimSun" w:cs="Times" w:hint="eastAsia"/>
                <w:lang w:eastAsia="zh-CN"/>
              </w:rPr>
              <w:t xml:space="preserve"> </w:t>
            </w:r>
          </w:p>
        </w:tc>
      </w:tr>
    </w:tbl>
    <w:p w14:paraId="3F3CA97B" w14:textId="7315B0CB" w:rsidR="00DD119D" w:rsidRDefault="00DD119D" w:rsidP="00262BB9">
      <w:pPr>
        <w:pStyle w:val="BodyText"/>
        <w:spacing w:beforeLines="50" w:before="120"/>
        <w:rPr>
          <w:rFonts w:eastAsia="Batang"/>
        </w:rPr>
      </w:pPr>
      <w:r>
        <w:rPr>
          <w:rFonts w:eastAsia="Batang"/>
        </w:rPr>
        <w:lastRenderedPageBreak/>
        <w:t xml:space="preserve">RAN 2 has incorporated OCC related parameters from the </w:t>
      </w:r>
      <w:r w:rsidRPr="00DD119D">
        <w:rPr>
          <w:rFonts w:eastAsia="Batang"/>
        </w:rPr>
        <w:t xml:space="preserve">R1 parameter list </w:t>
      </w:r>
      <w:r>
        <w:rPr>
          <w:rFonts w:eastAsia="Batang"/>
        </w:rPr>
        <w:t xml:space="preserve">received in </w:t>
      </w:r>
      <w:r w:rsidRPr="00DD119D">
        <w:rPr>
          <w:rFonts w:eastAsia="Batang"/>
        </w:rPr>
        <w:t>R1-2503243</w:t>
      </w:r>
      <w:r>
        <w:rPr>
          <w:rFonts w:eastAsia="Batang"/>
        </w:rPr>
        <w:t xml:space="preserve"> in the RRC Running CR for NR NTN. There </w:t>
      </w:r>
      <w:r w:rsidR="004845B4">
        <w:rPr>
          <w:rFonts w:eastAsia="Batang"/>
        </w:rPr>
        <w:t xml:space="preserve">is </w:t>
      </w:r>
      <w:r w:rsidR="000C2ABE">
        <w:rPr>
          <w:rFonts w:eastAsia="Batang"/>
        </w:rPr>
        <w:t>one</w:t>
      </w:r>
      <w:r>
        <w:rPr>
          <w:rFonts w:eastAsia="Batang"/>
        </w:rPr>
        <w:t xml:space="preserve"> additional aspects which needs to be agreed and incorporated in the specs which </w:t>
      </w:r>
      <w:r w:rsidR="000C2ABE">
        <w:rPr>
          <w:rFonts w:eastAsia="Batang"/>
        </w:rPr>
        <w:t>is</w:t>
      </w:r>
      <w:r>
        <w:rPr>
          <w:rFonts w:eastAsia="Batang"/>
        </w:rPr>
        <w:t xml:space="preserve"> discussed in this paper.</w:t>
      </w:r>
    </w:p>
    <w:p w14:paraId="596F61D7" w14:textId="77777777" w:rsidR="006F1E86" w:rsidRPr="00262BB9" w:rsidRDefault="006F1E86" w:rsidP="00262BB9">
      <w:pPr>
        <w:pStyle w:val="BodyText"/>
        <w:spacing w:beforeLines="50" w:before="120"/>
        <w:rPr>
          <w:rFonts w:eastAsia="Batang"/>
        </w:rPr>
      </w:pPr>
    </w:p>
    <w:p w14:paraId="43B4CC6F" w14:textId="565F65F9" w:rsidR="00D92FCA" w:rsidRDefault="00D92FCA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2</w:t>
      </w:r>
      <w:r w:rsidRPr="00D92FCA">
        <w:rPr>
          <w:lang w:eastAsia="de-DE"/>
        </w:rPr>
        <w:tab/>
      </w:r>
      <w:r>
        <w:rPr>
          <w:lang w:eastAsia="de-DE"/>
        </w:rPr>
        <w:t>Discussion</w:t>
      </w:r>
      <w:bookmarkEnd w:id="0"/>
      <w:bookmarkEnd w:id="1"/>
      <w:bookmarkEnd w:id="2"/>
    </w:p>
    <w:p w14:paraId="2B351200" w14:textId="506055F7" w:rsidR="00192C0E" w:rsidRDefault="00DD119D" w:rsidP="00192C0E">
      <w:pPr>
        <w:keepNext/>
        <w:keepLines/>
        <w:rPr>
          <w:rFonts w:ascii="Times New Roman" w:hAnsi="Times New Roman"/>
          <w:szCs w:val="20"/>
          <w:lang w:eastAsia="zh-CN"/>
        </w:rPr>
      </w:pPr>
      <w:bookmarkStart w:id="3" w:name="_Toc499559239"/>
      <w:bookmarkStart w:id="4" w:name="_Toc61387173"/>
      <w:bookmarkStart w:id="5" w:name="_Toc147158672"/>
      <w:r w:rsidRPr="00192C0E">
        <w:rPr>
          <w:rFonts w:ascii="Times New Roman" w:hAnsi="Times New Roman"/>
          <w:szCs w:val="20"/>
          <w:lang w:eastAsia="zh-CN"/>
        </w:rPr>
        <w:t xml:space="preserve">In the RRC Running CR </w:t>
      </w:r>
      <w:r w:rsidR="00192C0E">
        <w:rPr>
          <w:rFonts w:ascii="Times New Roman" w:hAnsi="Times New Roman"/>
          <w:szCs w:val="20"/>
          <w:lang w:eastAsia="zh-CN"/>
        </w:rPr>
        <w:t>the following OCC related parameters have been introduced</w:t>
      </w:r>
    </w:p>
    <w:p w14:paraId="278FD1DE" w14:textId="77777777" w:rsidR="00192C0E" w:rsidRDefault="00192C0E" w:rsidP="00192C0E">
      <w:pPr>
        <w:keepNext/>
        <w:keepLines/>
        <w:rPr>
          <w:rFonts w:ascii="Times New Roman" w:hAnsi="Times New Roman"/>
          <w:szCs w:val="20"/>
          <w:lang w:eastAsia="zh-CN"/>
        </w:rPr>
      </w:pPr>
    </w:p>
    <w:p w14:paraId="7B92F9DC" w14:textId="0E89B210" w:rsidR="00192C0E" w:rsidRPr="00192C0E" w:rsidRDefault="00DD119D" w:rsidP="00192C0E">
      <w:pPr>
        <w:pStyle w:val="ListParagraph"/>
        <w:keepNext/>
        <w:keepLines/>
        <w:numPr>
          <w:ilvl w:val="0"/>
          <w:numId w:val="29"/>
        </w:numPr>
        <w:rPr>
          <w:rFonts w:ascii="Times New Roman" w:hAnsi="Times New Roman"/>
          <w:iCs/>
          <w:sz w:val="20"/>
          <w:szCs w:val="20"/>
        </w:rPr>
      </w:pPr>
      <w:proofErr w:type="spellStart"/>
      <w:r w:rsidRPr="00192C0E">
        <w:rPr>
          <w:rFonts w:ascii="Times New Roman" w:hAnsi="Times New Roman"/>
          <w:b/>
          <w:i/>
          <w:sz w:val="20"/>
          <w:szCs w:val="20"/>
          <w:lang w:eastAsia="sv-SE"/>
        </w:rPr>
        <w:t>occ-LengthAndSequenceIndex</w:t>
      </w:r>
      <w:proofErr w:type="spellEnd"/>
      <w:r w:rsidR="00192C0E" w:rsidRPr="00192C0E">
        <w:rPr>
          <w:rFonts w:ascii="Times New Roman" w:hAnsi="Times New Roman"/>
          <w:b/>
          <w:i/>
          <w:sz w:val="20"/>
          <w:szCs w:val="20"/>
          <w:lang w:eastAsia="sv-SE"/>
        </w:rPr>
        <w:t xml:space="preserve"> </w:t>
      </w:r>
      <w:r w:rsidR="00A73B43">
        <w:rPr>
          <w:rFonts w:ascii="Times New Roman" w:hAnsi="Times New Roman"/>
          <w:b/>
          <w:i/>
          <w:sz w:val="20"/>
          <w:szCs w:val="20"/>
          <w:lang w:val="en-US" w:eastAsia="sv-SE"/>
        </w:rPr>
        <w:t xml:space="preserve">- </w:t>
      </w:r>
      <w:proofErr w:type="spellStart"/>
      <w:r w:rsidR="00A73B43">
        <w:rPr>
          <w:rFonts w:ascii="Times New Roman" w:hAnsi="Times New Roman"/>
          <w:bCs/>
          <w:iCs/>
          <w:sz w:val="20"/>
          <w:szCs w:val="20"/>
          <w:lang w:val="en-US" w:eastAsia="sv-SE"/>
        </w:rPr>
        <w:t>i</w:t>
      </w:r>
      <w:r w:rsidR="00192C0E" w:rsidRPr="00192C0E">
        <w:rPr>
          <w:rFonts w:ascii="Times New Roman" w:hAnsi="Times New Roman"/>
          <w:bCs/>
          <w:iCs/>
          <w:sz w:val="20"/>
          <w:szCs w:val="20"/>
          <w:lang w:eastAsia="sv-SE"/>
        </w:rPr>
        <w:t>ndicates</w:t>
      </w:r>
      <w:proofErr w:type="spellEnd"/>
      <w:r w:rsidR="00192C0E" w:rsidRPr="00192C0E">
        <w:rPr>
          <w:rFonts w:ascii="Times New Roman" w:hAnsi="Times New Roman"/>
          <w:bCs/>
          <w:iCs/>
          <w:sz w:val="20"/>
          <w:szCs w:val="20"/>
          <w:lang w:eastAsia="sv-SE"/>
        </w:rPr>
        <w:t xml:space="preserve"> the inter-slot OCC length and sequence index for a Type 1 CG configuration</w:t>
      </w:r>
      <w:r w:rsidR="00192C0E" w:rsidRPr="00192C0E">
        <w:rPr>
          <w:rFonts w:ascii="Times New Roman" w:hAnsi="Times New Roman"/>
          <w:b/>
          <w:i/>
          <w:sz w:val="20"/>
          <w:szCs w:val="20"/>
          <w:lang w:eastAsia="sv-SE"/>
        </w:rPr>
        <w:t xml:space="preserve"> </w:t>
      </w:r>
      <w:r w:rsidRPr="00192C0E">
        <w:rPr>
          <w:rFonts w:ascii="Times New Roman" w:hAnsi="Times New Roman"/>
          <w:bCs/>
          <w:iCs/>
          <w:sz w:val="20"/>
          <w:szCs w:val="20"/>
          <w:lang w:eastAsia="sv-SE"/>
        </w:rPr>
        <w:t xml:space="preserve">included in </w:t>
      </w:r>
      <w:proofErr w:type="spellStart"/>
      <w:r w:rsidR="00192C0E" w:rsidRPr="00192C0E">
        <w:rPr>
          <w:rFonts w:ascii="Times New Roman" w:hAnsi="Times New Roman"/>
          <w:b/>
          <w:bCs/>
          <w:i/>
          <w:sz w:val="20"/>
          <w:szCs w:val="20"/>
        </w:rPr>
        <w:t>ConfiguredGrantConfig</w:t>
      </w:r>
      <w:proofErr w:type="spellEnd"/>
      <w:r w:rsidR="00192C0E" w:rsidRPr="00192C0E">
        <w:rPr>
          <w:rFonts w:ascii="Times New Roman" w:hAnsi="Times New Roman"/>
          <w:iCs/>
          <w:sz w:val="20"/>
          <w:szCs w:val="20"/>
        </w:rPr>
        <w:t xml:space="preserve"> </w:t>
      </w:r>
    </w:p>
    <w:p w14:paraId="0EE73C6D" w14:textId="77777777" w:rsidR="00192C0E" w:rsidRDefault="00192C0E" w:rsidP="00192C0E">
      <w:pPr>
        <w:keepNext/>
        <w:keepLines/>
        <w:rPr>
          <w:rFonts w:ascii="Arial" w:hAnsi="Arial"/>
          <w:b/>
          <w:i/>
          <w:sz w:val="18"/>
          <w:szCs w:val="22"/>
          <w:lang w:eastAsia="sv-SE"/>
        </w:rPr>
      </w:pPr>
    </w:p>
    <w:p w14:paraId="1BA4348E" w14:textId="12BAAB5D" w:rsidR="0058308D" w:rsidRDefault="00192C0E" w:rsidP="0058308D">
      <w:pPr>
        <w:pStyle w:val="ListParagraph"/>
        <w:keepNext/>
        <w:keepLines/>
        <w:numPr>
          <w:ilvl w:val="0"/>
          <w:numId w:val="29"/>
        </w:numPr>
        <w:spacing w:after="180"/>
        <w:rPr>
          <w:lang w:eastAsia="zh-CN"/>
        </w:rPr>
      </w:pPr>
      <w:proofErr w:type="spellStart"/>
      <w:r w:rsidRPr="0058308D">
        <w:rPr>
          <w:rFonts w:ascii="Times New Roman" w:hAnsi="Times New Roman"/>
          <w:b/>
          <w:i/>
          <w:sz w:val="20"/>
          <w:szCs w:val="20"/>
          <w:lang w:eastAsia="sv-SE"/>
        </w:rPr>
        <w:t>occ</w:t>
      </w:r>
      <w:proofErr w:type="spellEnd"/>
      <w:r w:rsidRPr="0058308D">
        <w:rPr>
          <w:rFonts w:ascii="Times New Roman" w:hAnsi="Times New Roman"/>
          <w:b/>
          <w:i/>
          <w:sz w:val="20"/>
          <w:szCs w:val="20"/>
          <w:lang w:eastAsia="sv-SE"/>
        </w:rPr>
        <w:t>-Length</w:t>
      </w:r>
      <w:r w:rsidRPr="0058308D">
        <w:rPr>
          <w:rFonts w:ascii="Times New Roman" w:hAnsi="Times New Roman"/>
          <w:bCs/>
          <w:iCs/>
          <w:sz w:val="20"/>
          <w:szCs w:val="20"/>
          <w:lang w:eastAsia="sv-SE"/>
        </w:rPr>
        <w:t xml:space="preserve"> </w:t>
      </w:r>
      <w:r w:rsidR="00A73B43">
        <w:rPr>
          <w:rFonts w:ascii="Times New Roman" w:hAnsi="Times New Roman"/>
          <w:bCs/>
          <w:iCs/>
          <w:sz w:val="20"/>
          <w:szCs w:val="20"/>
          <w:lang w:val="en-US" w:eastAsia="sv-SE"/>
        </w:rPr>
        <w:t xml:space="preserve">- </w:t>
      </w:r>
      <w:proofErr w:type="spellStart"/>
      <w:r w:rsidR="005E2261">
        <w:rPr>
          <w:rFonts w:ascii="Times New Roman" w:hAnsi="Times New Roman"/>
          <w:bCs/>
          <w:iCs/>
          <w:sz w:val="20"/>
          <w:szCs w:val="20"/>
          <w:lang w:val="en-US" w:eastAsia="sv-SE"/>
        </w:rPr>
        <w:t>i</w:t>
      </w:r>
      <w:r w:rsidRPr="0058308D">
        <w:rPr>
          <w:rFonts w:ascii="Times New Roman" w:hAnsi="Times New Roman"/>
          <w:bCs/>
          <w:iCs/>
          <w:sz w:val="20"/>
          <w:szCs w:val="20"/>
          <w:lang w:eastAsia="sv-SE"/>
        </w:rPr>
        <w:t>ndicates</w:t>
      </w:r>
      <w:proofErr w:type="spellEnd"/>
      <w:r w:rsidRPr="0058308D">
        <w:rPr>
          <w:rFonts w:ascii="Times New Roman" w:hAnsi="Times New Roman"/>
          <w:bCs/>
          <w:iCs/>
          <w:sz w:val="20"/>
          <w:szCs w:val="20"/>
          <w:lang w:eastAsia="sv-SE"/>
        </w:rPr>
        <w:t xml:space="preserve"> the inter-slot OCC length for a dynamic grant or a Type 2 CG configuration has been included in </w:t>
      </w:r>
      <w:r w:rsidRPr="005B4F3D">
        <w:rPr>
          <w:rFonts w:ascii="Times New Roman" w:hAnsi="Times New Roman"/>
          <w:i/>
          <w:sz w:val="20"/>
          <w:szCs w:val="20"/>
          <w:lang w:eastAsia="sv-SE"/>
        </w:rPr>
        <w:t>PUSCH-</w:t>
      </w:r>
      <w:proofErr w:type="spellStart"/>
      <w:r w:rsidRPr="005B4F3D">
        <w:rPr>
          <w:rFonts w:ascii="Times New Roman" w:hAnsi="Times New Roman"/>
          <w:i/>
          <w:sz w:val="20"/>
          <w:szCs w:val="20"/>
          <w:lang w:eastAsia="sv-SE"/>
        </w:rPr>
        <w:t>TimeDomainResourceAllocationList</w:t>
      </w:r>
      <w:proofErr w:type="spellEnd"/>
      <w:r w:rsidR="0058308D" w:rsidRPr="005B4F3D">
        <w:rPr>
          <w:rFonts w:ascii="Times New Roman" w:hAnsi="Times New Roman"/>
          <w:i/>
          <w:sz w:val="20"/>
          <w:szCs w:val="20"/>
          <w:lang w:val="en-US" w:eastAsia="sv-SE"/>
        </w:rPr>
        <w:t xml:space="preserve">. </w:t>
      </w:r>
      <w:r w:rsidR="0058308D" w:rsidRPr="0058308D">
        <w:rPr>
          <w:rFonts w:ascii="Times New Roman" w:hAnsi="Times New Roman"/>
          <w:lang w:eastAsia="zh-CN"/>
        </w:rPr>
        <w:t>For the OCC sequence applied for OCC DG PUSCH and CG PUSCH Type 2, the sequence is indicated dynamically in DCI</w:t>
      </w:r>
      <w:r w:rsidR="0058308D">
        <w:rPr>
          <w:lang w:eastAsia="zh-CN"/>
        </w:rPr>
        <w:t>.</w:t>
      </w:r>
    </w:p>
    <w:p w14:paraId="398770F0" w14:textId="289008C0" w:rsidR="005B4F3D" w:rsidRDefault="00A73B43" w:rsidP="00716422">
      <w:pPr>
        <w:spacing w:after="180"/>
        <w:rPr>
          <w:lang w:eastAsia="zh-CN"/>
        </w:rPr>
      </w:pPr>
      <w:r>
        <w:rPr>
          <w:lang w:eastAsia="zh-CN"/>
        </w:rPr>
        <w:t>A</w:t>
      </w:r>
      <w:r w:rsidR="005B4F3D">
        <w:rPr>
          <w:lang w:eastAsia="zh-CN"/>
        </w:rPr>
        <w:t xml:space="preserve">dditional aspects that needs to be incorporated in the TS38.306 and TS 38.331 </w:t>
      </w:r>
      <w:r w:rsidR="00E52226">
        <w:rPr>
          <w:lang w:eastAsia="zh-CN"/>
        </w:rPr>
        <w:t xml:space="preserve">running CR </w:t>
      </w:r>
      <w:r w:rsidR="005B4F3D">
        <w:rPr>
          <w:lang w:eastAsia="zh-CN"/>
        </w:rPr>
        <w:t xml:space="preserve">is to introduce UE </w:t>
      </w:r>
      <w:r w:rsidRPr="00A73B43">
        <w:rPr>
          <w:lang w:eastAsia="zh-CN"/>
        </w:rPr>
        <w:t>capability signalling</w:t>
      </w:r>
      <w:r w:rsidR="005B4F3D">
        <w:rPr>
          <w:lang w:eastAsia="zh-CN"/>
        </w:rPr>
        <w:t xml:space="preserve"> for OCC</w:t>
      </w:r>
      <w:r>
        <w:rPr>
          <w:lang w:eastAsia="zh-CN"/>
        </w:rPr>
        <w:t>,</w:t>
      </w:r>
      <w:r w:rsidR="005B4F3D">
        <w:rPr>
          <w:lang w:eastAsia="zh-CN"/>
        </w:rPr>
        <w:t xml:space="preserve"> in line with the RAN 1 agreements.</w:t>
      </w:r>
    </w:p>
    <w:p w14:paraId="6E7EC542" w14:textId="22D2ACD6" w:rsidR="000F126F" w:rsidRDefault="00DB0E06" w:rsidP="001F64D7">
      <w:pPr>
        <w:spacing w:after="180"/>
        <w:rPr>
          <w:b/>
        </w:rPr>
      </w:pPr>
      <w:r>
        <w:t>As noted in</w:t>
      </w:r>
      <w:r w:rsidR="00F966F2">
        <w:t xml:space="preserve"> RAN1 agreement, separate UE capabilities </w:t>
      </w:r>
      <w:r w:rsidR="0002309C">
        <w:t xml:space="preserve">are </w:t>
      </w:r>
      <w:r w:rsidR="000C2ABE">
        <w:t xml:space="preserve">proposed to be </w:t>
      </w:r>
      <w:r w:rsidR="0002309C">
        <w:t xml:space="preserve">introduced </w:t>
      </w:r>
      <w:r w:rsidR="00F966F2">
        <w:t xml:space="preserve">for OCC </w:t>
      </w:r>
      <w:r w:rsidR="00F966F2" w:rsidRPr="00F966F2">
        <w:t xml:space="preserve">length 2 and OCC length 4, </w:t>
      </w:r>
      <w:r w:rsidR="00A73B43">
        <w:t>with</w:t>
      </w:r>
      <w:r w:rsidR="00A73B43" w:rsidRPr="00F966F2">
        <w:t xml:space="preserve"> </w:t>
      </w:r>
      <w:r w:rsidR="00F966F2" w:rsidRPr="00F966F2">
        <w:t>UE capability for OCC length 2 is a prerequisite for</w:t>
      </w:r>
      <w:r w:rsidR="00F966F2">
        <w:t xml:space="preserve"> UE capability for OCC length 4.</w:t>
      </w:r>
      <w:r w:rsidR="005B4F3D">
        <w:t xml:space="preserve"> Hence we propose</w:t>
      </w:r>
    </w:p>
    <w:p w14:paraId="36833D81" w14:textId="073D3FA6" w:rsidR="001C0F47" w:rsidRDefault="000F126F" w:rsidP="001F64D7">
      <w:pPr>
        <w:spacing w:after="180"/>
        <w:rPr>
          <w:b/>
        </w:rPr>
      </w:pPr>
      <w:r>
        <w:rPr>
          <w:b/>
        </w:rPr>
        <w:t xml:space="preserve">Proposal </w:t>
      </w:r>
      <w:r w:rsidR="005B4F3D">
        <w:rPr>
          <w:b/>
        </w:rPr>
        <w:t>1</w:t>
      </w:r>
      <w:r>
        <w:rPr>
          <w:b/>
        </w:rPr>
        <w:t xml:space="preserve">: RAN2 </w:t>
      </w:r>
      <w:r w:rsidR="00F966F2">
        <w:rPr>
          <w:b/>
        </w:rPr>
        <w:t xml:space="preserve">to introduce </w:t>
      </w:r>
      <w:r w:rsidR="00F966F2" w:rsidRPr="00F966F2">
        <w:rPr>
          <w:b/>
        </w:rPr>
        <w:t>separate UE capabilities for OCC length 2 and OCC length 4</w:t>
      </w:r>
      <w:r w:rsidR="00F966F2">
        <w:rPr>
          <w:b/>
        </w:rPr>
        <w:t xml:space="preserve">, and </w:t>
      </w:r>
      <w:r w:rsidR="00F966F2" w:rsidRPr="00F966F2">
        <w:rPr>
          <w:b/>
        </w:rPr>
        <w:t>UE capability for OCC length 2 is a prerequisite for UE capability for OCC length 4.</w:t>
      </w:r>
    </w:p>
    <w:p w14:paraId="4C9BB1B8" w14:textId="77777777" w:rsidR="00E52226" w:rsidRDefault="00E52226" w:rsidP="001F64D7">
      <w:pPr>
        <w:spacing w:after="180"/>
        <w:rPr>
          <w:b/>
        </w:rPr>
      </w:pPr>
    </w:p>
    <w:bookmarkEnd w:id="3"/>
    <w:bookmarkEnd w:id="4"/>
    <w:bookmarkEnd w:id="5"/>
    <w:p w14:paraId="088961FA" w14:textId="284A82FC" w:rsidR="003C7F86" w:rsidRPr="00B139C2" w:rsidRDefault="00B139C2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3</w:t>
      </w:r>
      <w:r>
        <w:rPr>
          <w:lang w:eastAsia="de-DE"/>
        </w:rPr>
        <w:tab/>
      </w:r>
      <w:r w:rsidR="00405D72">
        <w:rPr>
          <w:lang w:eastAsia="de-DE"/>
        </w:rPr>
        <w:t>Conclusion</w:t>
      </w:r>
    </w:p>
    <w:p w14:paraId="6E8BC693" w14:textId="26626ABF" w:rsidR="00B359B0" w:rsidRDefault="00405D72" w:rsidP="00716422">
      <w:pPr>
        <w:spacing w:after="180"/>
      </w:pPr>
      <w:r w:rsidRPr="00E30475">
        <w:t>This contribution</w:t>
      </w:r>
      <w:r w:rsidR="000C4A22">
        <w:t xml:space="preserve"> analyse</w:t>
      </w:r>
      <w:r w:rsidR="00A6704E">
        <w:t>s</w:t>
      </w:r>
      <w:r w:rsidR="000C4A22">
        <w:t xml:space="preserve"> the </w:t>
      </w:r>
      <w:r w:rsidR="005B4F3D">
        <w:t xml:space="preserve">current status of </w:t>
      </w:r>
      <w:r w:rsidR="00A6704E">
        <w:t>OCC signalling</w:t>
      </w:r>
      <w:r w:rsidR="00A73B43">
        <w:t>,</w:t>
      </w:r>
      <w:r w:rsidR="00A6704E">
        <w:t xml:space="preserve"> based on RAN1 </w:t>
      </w:r>
      <w:r w:rsidR="005B4F3D">
        <w:t xml:space="preserve">agreements and the </w:t>
      </w:r>
      <w:r w:rsidR="00A73B43">
        <w:t xml:space="preserve">ongoing </w:t>
      </w:r>
      <w:r w:rsidR="005B4F3D">
        <w:t>RRC and UE Capability running CR for the NTN</w:t>
      </w:r>
      <w:r w:rsidR="00B777C5">
        <w:t>,</w:t>
      </w:r>
      <w:r w:rsidR="00946B09">
        <w:t xml:space="preserve"> and </w:t>
      </w:r>
      <w:r w:rsidR="00B777C5">
        <w:t>proposes the following:</w:t>
      </w:r>
    </w:p>
    <w:p w14:paraId="2E2B309D" w14:textId="116B21BA" w:rsidR="0002309C" w:rsidRDefault="0002309C" w:rsidP="009801F3">
      <w:pPr>
        <w:spacing w:after="180"/>
        <w:rPr>
          <w:b/>
        </w:rPr>
      </w:pPr>
      <w:r>
        <w:rPr>
          <w:b/>
        </w:rPr>
        <w:t xml:space="preserve">Proposal </w:t>
      </w:r>
      <w:r w:rsidR="005B4F3D">
        <w:rPr>
          <w:b/>
        </w:rPr>
        <w:t>1</w:t>
      </w:r>
      <w:r>
        <w:rPr>
          <w:b/>
        </w:rPr>
        <w:t xml:space="preserve">: RAN2 to introduce </w:t>
      </w:r>
      <w:r w:rsidRPr="00F966F2">
        <w:rPr>
          <w:b/>
        </w:rPr>
        <w:t>separate UE capabilities for OCC length 2 and OCC length 4</w:t>
      </w:r>
      <w:r>
        <w:rPr>
          <w:b/>
        </w:rPr>
        <w:t xml:space="preserve">, and </w:t>
      </w:r>
      <w:r w:rsidRPr="00F966F2">
        <w:rPr>
          <w:b/>
        </w:rPr>
        <w:t>UE capability for OCC length 2 is a prerequisite for UE capability for OCC length 4.</w:t>
      </w:r>
    </w:p>
    <w:p w14:paraId="0452CE50" w14:textId="48339E58" w:rsidR="002E2D7B" w:rsidRPr="00B139C2" w:rsidRDefault="002E2D7B" w:rsidP="00AF4438">
      <w:pPr>
        <w:pStyle w:val="Heading1"/>
        <w:tabs>
          <w:tab w:val="num" w:pos="397"/>
        </w:tabs>
        <w:spacing w:before="0"/>
        <w:ind w:left="533" w:hanging="533"/>
        <w:jc w:val="both"/>
        <w:rPr>
          <w:lang w:eastAsia="de-DE"/>
        </w:rPr>
      </w:pPr>
      <w:r>
        <w:rPr>
          <w:lang w:eastAsia="de-DE"/>
        </w:rPr>
        <w:t>4</w:t>
      </w:r>
      <w:r>
        <w:rPr>
          <w:lang w:eastAsia="de-DE"/>
        </w:rPr>
        <w:tab/>
        <w:t>References</w:t>
      </w:r>
    </w:p>
    <w:p w14:paraId="4F232EED" w14:textId="6538A64D" w:rsidR="00266EDC" w:rsidRDefault="00A6704E" w:rsidP="00117EAB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lang w:val="en-US" w:eastAsia="en-GB"/>
        </w:rPr>
      </w:pPr>
      <w:bookmarkStart w:id="6" w:name="_Ref173428202"/>
      <w:bookmarkStart w:id="7" w:name="_Ref165366991"/>
      <w:r w:rsidRPr="00A6704E">
        <w:rPr>
          <w:rFonts w:ascii="Times New Roman" w:hAnsi="Times New Roman"/>
          <w:sz w:val="20"/>
          <w:lang w:val="en-US" w:eastAsia="en-GB"/>
        </w:rPr>
        <w:t>RP-241789</w:t>
      </w:r>
      <w:r w:rsidR="00191DA1" w:rsidRPr="00191DA1">
        <w:rPr>
          <w:rFonts w:ascii="Times New Roman" w:hAnsi="Times New Roman"/>
          <w:sz w:val="20"/>
          <w:lang w:val="en-US" w:eastAsia="en-GB"/>
        </w:rPr>
        <w:t xml:space="preserve">, </w:t>
      </w:r>
      <w:r w:rsidRPr="00A6704E">
        <w:rPr>
          <w:rFonts w:ascii="Times New Roman" w:hAnsi="Times New Roman"/>
          <w:sz w:val="20"/>
          <w:lang w:val="en-US" w:eastAsia="en-GB"/>
        </w:rPr>
        <w:t>Revised WID: Non-Terrestrial Networks (NTN) for NR Phase 3</w:t>
      </w:r>
      <w:r>
        <w:rPr>
          <w:rFonts w:ascii="Times New Roman" w:hAnsi="Times New Roman"/>
          <w:sz w:val="20"/>
          <w:lang w:val="en-US" w:eastAsia="en-GB"/>
        </w:rPr>
        <w:t xml:space="preserve">, </w:t>
      </w:r>
      <w:bookmarkEnd w:id="6"/>
      <w:bookmarkEnd w:id="7"/>
      <w:r w:rsidR="00E410C0">
        <w:rPr>
          <w:rFonts w:ascii="Times New Roman" w:hAnsi="Times New Roman"/>
          <w:sz w:val="20"/>
          <w:lang w:val="en-US" w:eastAsia="en-GB"/>
        </w:rPr>
        <w:t>Thales, CATT</w:t>
      </w:r>
    </w:p>
    <w:p w14:paraId="36F8E1FE" w14:textId="6F3EE1ED" w:rsidR="00A6704E" w:rsidRDefault="00844F84" w:rsidP="00117EAB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lang w:val="en-US" w:eastAsia="en-GB"/>
        </w:rPr>
      </w:pPr>
      <w:r w:rsidRPr="00844F84">
        <w:rPr>
          <w:rFonts w:ascii="Times New Roman" w:hAnsi="Times New Roman"/>
          <w:sz w:val="20"/>
          <w:lang w:val="en-US" w:eastAsia="en-GB"/>
        </w:rPr>
        <w:t>Session notes for 9.11 Non-Terrestrial Networks (NTN) for NR Phase 3, Internet of Things (IoT) Phase 3, and IoT-NTN TDD mode</w:t>
      </w:r>
      <w:r>
        <w:rPr>
          <w:rFonts w:ascii="Times New Roman" w:hAnsi="Times New Roman"/>
          <w:sz w:val="20"/>
          <w:lang w:val="en-US" w:eastAsia="en-GB"/>
        </w:rPr>
        <w:t xml:space="preserve">, </w:t>
      </w:r>
      <w:r w:rsidRPr="00844F84">
        <w:rPr>
          <w:rFonts w:ascii="Times New Roman" w:hAnsi="Times New Roman"/>
          <w:sz w:val="20"/>
          <w:lang w:val="en-US" w:eastAsia="en-GB"/>
        </w:rPr>
        <w:t>Ad-Hoc Chair (Huawei)</w:t>
      </w:r>
      <w:r>
        <w:rPr>
          <w:rFonts w:ascii="Times New Roman" w:hAnsi="Times New Roman"/>
          <w:sz w:val="20"/>
          <w:lang w:val="en-US" w:eastAsia="en-GB"/>
        </w:rPr>
        <w:t>, RAN1#119</w:t>
      </w:r>
    </w:p>
    <w:p w14:paraId="5A6E4259" w14:textId="1AA00847" w:rsidR="00C50ECE" w:rsidRPr="000C4A22" w:rsidRDefault="00C50ECE" w:rsidP="00117EAB">
      <w:pPr>
        <w:pStyle w:val="ListParagraph"/>
        <w:numPr>
          <w:ilvl w:val="0"/>
          <w:numId w:val="18"/>
        </w:numPr>
        <w:rPr>
          <w:rFonts w:ascii="Times New Roman" w:hAnsi="Times New Roman"/>
          <w:sz w:val="20"/>
          <w:lang w:val="en-US" w:eastAsia="en-GB"/>
        </w:rPr>
      </w:pPr>
      <w:r w:rsidRPr="00C50ECE">
        <w:rPr>
          <w:rFonts w:ascii="Times New Roman" w:hAnsi="Times New Roman"/>
          <w:sz w:val="20"/>
          <w:lang w:val="en-US" w:eastAsia="en-GB"/>
        </w:rPr>
        <w:t>Chair’s notes for RAN#1 120</w:t>
      </w:r>
      <w:r w:rsidR="003E595F">
        <w:rPr>
          <w:rFonts w:ascii="Times New Roman" w:hAnsi="Times New Roman"/>
          <w:sz w:val="20"/>
          <w:lang w:val="en-US" w:eastAsia="en-GB"/>
        </w:rPr>
        <w:t xml:space="preserve"> </w:t>
      </w:r>
      <w:r w:rsidR="00262BB9">
        <w:rPr>
          <w:rFonts w:ascii="Times New Roman" w:hAnsi="Times New Roman"/>
          <w:sz w:val="20"/>
          <w:lang w:val="en-US" w:eastAsia="en-GB"/>
        </w:rPr>
        <w:t>b</w:t>
      </w:r>
      <w:r w:rsidR="003E595F">
        <w:rPr>
          <w:rFonts w:ascii="Times New Roman" w:hAnsi="Times New Roman"/>
          <w:sz w:val="20"/>
          <w:lang w:val="en-US" w:eastAsia="en-GB"/>
        </w:rPr>
        <w:t>is</w:t>
      </w:r>
      <w:r w:rsidRPr="00C50ECE">
        <w:rPr>
          <w:rFonts w:ascii="Times New Roman" w:hAnsi="Times New Roman"/>
          <w:sz w:val="20"/>
          <w:lang w:val="en-US" w:eastAsia="en-GB"/>
        </w:rPr>
        <w:t>,</w:t>
      </w:r>
      <w:r w:rsidRPr="00C50ECE">
        <w:t xml:space="preserve"> </w:t>
      </w:r>
      <w:r w:rsidRPr="00C50ECE">
        <w:rPr>
          <w:rFonts w:ascii="Times New Roman" w:hAnsi="Times New Roman"/>
          <w:sz w:val="20"/>
          <w:lang w:val="en-US" w:eastAsia="en-GB"/>
        </w:rPr>
        <w:t>Wuhan, China, April 7th-11th, 2025</w:t>
      </w:r>
    </w:p>
    <w:sectPr w:rsidR="00C50ECE" w:rsidRPr="000C4A22" w:rsidSect="00EB6BFE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049DD" w14:textId="77777777" w:rsidR="0085443D" w:rsidRDefault="0085443D" w:rsidP="00796430">
      <w:r>
        <w:separator/>
      </w:r>
    </w:p>
  </w:endnote>
  <w:endnote w:type="continuationSeparator" w:id="0">
    <w:p w14:paraId="79FA51E0" w14:textId="77777777" w:rsidR="0085443D" w:rsidRDefault="0085443D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460F0" w14:textId="77777777" w:rsidR="0085443D" w:rsidRDefault="0085443D" w:rsidP="00796430">
      <w:r>
        <w:separator/>
      </w:r>
    </w:p>
  </w:footnote>
  <w:footnote w:type="continuationSeparator" w:id="0">
    <w:p w14:paraId="6CE0FD85" w14:textId="77777777" w:rsidR="0085443D" w:rsidRDefault="0085443D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1141D4"/>
    <w:multiLevelType w:val="multilevel"/>
    <w:tmpl w:val="0B1141D4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›"/>
      <w:lvlJc w:val="left"/>
      <w:pPr>
        <w:ind w:left="2120" w:hanging="360"/>
      </w:pPr>
      <w:rPr>
        <w:rFonts w:ascii="Ericsson Capital TT" w:hAnsi="Ericsson Capital TT" w:hint="default"/>
      </w:rPr>
    </w:lvl>
    <w:lvl w:ilvl="4">
      <w:numFmt w:val="bullet"/>
      <w:lvlText w:val="›"/>
      <w:lvlJc w:val="left"/>
      <w:pPr>
        <w:ind w:left="2560" w:hanging="360"/>
      </w:pPr>
      <w:rPr>
        <w:rFonts w:ascii="Ericsson Capital TT" w:hAnsi="Ericsson Capital TT" w:hint="default"/>
      </w:r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upperLetter"/>
      <w:lvlText w:val="%8.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46D5400"/>
    <w:multiLevelType w:val="multilevel"/>
    <w:tmpl w:val="146D540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96608"/>
    <w:multiLevelType w:val="hybridMultilevel"/>
    <w:tmpl w:val="01486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3246DF"/>
    <w:multiLevelType w:val="hybridMultilevel"/>
    <w:tmpl w:val="549E9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608C40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343C8"/>
    <w:multiLevelType w:val="hybridMultilevel"/>
    <w:tmpl w:val="3DF68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00424C"/>
    <w:multiLevelType w:val="hybridMultilevel"/>
    <w:tmpl w:val="19229E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4618B9"/>
    <w:multiLevelType w:val="multilevel"/>
    <w:tmpl w:val="2CEA5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7F52A81"/>
    <w:multiLevelType w:val="hybridMultilevel"/>
    <w:tmpl w:val="A016EECC"/>
    <w:lvl w:ilvl="0" w:tplc="A64E8D2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53C0B8E"/>
    <w:multiLevelType w:val="multilevel"/>
    <w:tmpl w:val="E63C2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28" w15:restartNumberingAfterBreak="0">
    <w:nsid w:val="77E30194"/>
    <w:multiLevelType w:val="hybridMultilevel"/>
    <w:tmpl w:val="E1A4EA72"/>
    <w:lvl w:ilvl="0" w:tplc="0302D06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5"/>
  </w:num>
  <w:num w:numId="4">
    <w:abstractNumId w:val="11"/>
  </w:num>
  <w:num w:numId="5">
    <w:abstractNumId w:val="23"/>
  </w:num>
  <w:num w:numId="6">
    <w:abstractNumId w:val="12"/>
  </w:num>
  <w:num w:numId="7">
    <w:abstractNumId w:val="3"/>
  </w:num>
  <w:num w:numId="8">
    <w:abstractNumId w:val="20"/>
  </w:num>
  <w:num w:numId="9">
    <w:abstractNumId w:val="22"/>
    <w:lvlOverride w:ilvl="0">
      <w:startOverride w:val="1"/>
    </w:lvlOverride>
  </w:num>
  <w:num w:numId="10">
    <w:abstractNumId w:val="1"/>
  </w:num>
  <w:num w:numId="11">
    <w:abstractNumId w:val="18"/>
  </w:num>
  <w:num w:numId="12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6"/>
  </w:num>
  <w:num w:numId="15">
    <w:abstractNumId w:val="14"/>
  </w:num>
  <w:num w:numId="16">
    <w:abstractNumId w:val="24"/>
  </w:num>
  <w:num w:numId="17">
    <w:abstractNumId w:val="10"/>
  </w:num>
  <w:num w:numId="18">
    <w:abstractNumId w:val="7"/>
  </w:num>
  <w:num w:numId="19">
    <w:abstractNumId w:val="16"/>
  </w:num>
  <w:num w:numId="20">
    <w:abstractNumId w:val="28"/>
  </w:num>
  <w:num w:numId="21">
    <w:abstractNumId w:val="9"/>
  </w:num>
  <w:num w:numId="22">
    <w:abstractNumId w:val="26"/>
  </w:num>
  <w:num w:numId="23">
    <w:abstractNumId w:val="29"/>
  </w:num>
  <w:num w:numId="24">
    <w:abstractNumId w:val="4"/>
  </w:num>
  <w:num w:numId="25">
    <w:abstractNumId w:val="25"/>
  </w:num>
  <w:num w:numId="26">
    <w:abstractNumId w:val="8"/>
  </w:num>
  <w:num w:numId="27">
    <w:abstractNumId w:val="5"/>
  </w:num>
  <w:num w:numId="28">
    <w:abstractNumId w:val="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0EF6"/>
    <w:rsid w:val="00001198"/>
    <w:rsid w:val="00001224"/>
    <w:rsid w:val="000013E0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199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9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0E42"/>
    <w:rsid w:val="000512FE"/>
    <w:rsid w:val="0005179E"/>
    <w:rsid w:val="00051BED"/>
    <w:rsid w:val="00051D5B"/>
    <w:rsid w:val="000528B0"/>
    <w:rsid w:val="00052912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4BA"/>
    <w:rsid w:val="000647FB"/>
    <w:rsid w:val="00064A11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4E9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E5E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4FEC"/>
    <w:rsid w:val="000952AB"/>
    <w:rsid w:val="000954A2"/>
    <w:rsid w:val="000955F5"/>
    <w:rsid w:val="00095987"/>
    <w:rsid w:val="00095DB8"/>
    <w:rsid w:val="00096006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2B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ABE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A22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4FE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1DAB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AD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6F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6FE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8A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17EAB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775"/>
    <w:rsid w:val="00124AEF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8F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7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344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0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4B3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56"/>
    <w:rsid w:val="001726A4"/>
    <w:rsid w:val="001729A0"/>
    <w:rsid w:val="001729A7"/>
    <w:rsid w:val="00172C3C"/>
    <w:rsid w:val="00172D53"/>
    <w:rsid w:val="00173416"/>
    <w:rsid w:val="0017348D"/>
    <w:rsid w:val="001734E9"/>
    <w:rsid w:val="001737FD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6F02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E80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DA1"/>
    <w:rsid w:val="00191F31"/>
    <w:rsid w:val="00191F60"/>
    <w:rsid w:val="0019211C"/>
    <w:rsid w:val="0019243B"/>
    <w:rsid w:val="001928A7"/>
    <w:rsid w:val="00192A12"/>
    <w:rsid w:val="00192BFE"/>
    <w:rsid w:val="00192C0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8D8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47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8F0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5A89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4D7"/>
    <w:rsid w:val="001F6551"/>
    <w:rsid w:val="001F67C0"/>
    <w:rsid w:val="001F6DC0"/>
    <w:rsid w:val="001F75AB"/>
    <w:rsid w:val="001F786D"/>
    <w:rsid w:val="001F7B73"/>
    <w:rsid w:val="00200094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7D3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8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0FC3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22F"/>
    <w:rsid w:val="002425CA"/>
    <w:rsid w:val="0024266A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BB9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393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3AA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7B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5C"/>
    <w:rsid w:val="002F1E25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3FAD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000"/>
    <w:rsid w:val="00340630"/>
    <w:rsid w:val="00340974"/>
    <w:rsid w:val="00340B19"/>
    <w:rsid w:val="00340BC7"/>
    <w:rsid w:val="00340C39"/>
    <w:rsid w:val="00340EB2"/>
    <w:rsid w:val="00340FDA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661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545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094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04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D86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BFF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086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4ED5"/>
    <w:rsid w:val="003E54DD"/>
    <w:rsid w:val="003E595F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8F2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12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A9D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616"/>
    <w:rsid w:val="004507D9"/>
    <w:rsid w:val="00450D94"/>
    <w:rsid w:val="0045192E"/>
    <w:rsid w:val="00451939"/>
    <w:rsid w:val="00451FF3"/>
    <w:rsid w:val="004522A3"/>
    <w:rsid w:val="00452508"/>
    <w:rsid w:val="00452579"/>
    <w:rsid w:val="004526F2"/>
    <w:rsid w:val="00452973"/>
    <w:rsid w:val="00452AFC"/>
    <w:rsid w:val="00452C05"/>
    <w:rsid w:val="00452DD9"/>
    <w:rsid w:val="00452FC2"/>
    <w:rsid w:val="00453435"/>
    <w:rsid w:val="0045388F"/>
    <w:rsid w:val="00453A39"/>
    <w:rsid w:val="00454255"/>
    <w:rsid w:val="00454463"/>
    <w:rsid w:val="00454608"/>
    <w:rsid w:val="004548C3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192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4F86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5F2"/>
    <w:rsid w:val="00477606"/>
    <w:rsid w:val="00477737"/>
    <w:rsid w:val="00477911"/>
    <w:rsid w:val="00477A5A"/>
    <w:rsid w:val="00477C3F"/>
    <w:rsid w:val="00477C7F"/>
    <w:rsid w:val="00477CAD"/>
    <w:rsid w:val="004801E3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5B4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5C4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23D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17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ED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16F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530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982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3FF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08D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206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74A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CD6"/>
    <w:rsid w:val="00597E28"/>
    <w:rsid w:val="005A00B7"/>
    <w:rsid w:val="005A02E7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940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C8F"/>
    <w:rsid w:val="005B3FDE"/>
    <w:rsid w:val="005B472E"/>
    <w:rsid w:val="005B4736"/>
    <w:rsid w:val="005B48B7"/>
    <w:rsid w:val="005B4ACE"/>
    <w:rsid w:val="005B4C1C"/>
    <w:rsid w:val="005B4E42"/>
    <w:rsid w:val="005B4F3D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1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83E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DA0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DB4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10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A09"/>
    <w:rsid w:val="00677C48"/>
    <w:rsid w:val="00677D2D"/>
    <w:rsid w:val="00677D78"/>
    <w:rsid w:val="00677E10"/>
    <w:rsid w:val="00680339"/>
    <w:rsid w:val="00680853"/>
    <w:rsid w:val="00680C92"/>
    <w:rsid w:val="00681537"/>
    <w:rsid w:val="00681619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1E3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16A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35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1E86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422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2337"/>
    <w:rsid w:val="00762648"/>
    <w:rsid w:val="00762AB9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14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7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488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208A"/>
    <w:rsid w:val="007B2492"/>
    <w:rsid w:val="007B2B32"/>
    <w:rsid w:val="007B2FB6"/>
    <w:rsid w:val="007B3653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14B"/>
    <w:rsid w:val="007B53BC"/>
    <w:rsid w:val="007B5490"/>
    <w:rsid w:val="007B553E"/>
    <w:rsid w:val="007B5745"/>
    <w:rsid w:val="007B5942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53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A15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3F4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CCC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241"/>
    <w:rsid w:val="00841693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4F84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2F25"/>
    <w:rsid w:val="00853132"/>
    <w:rsid w:val="00853666"/>
    <w:rsid w:val="00853859"/>
    <w:rsid w:val="00853A06"/>
    <w:rsid w:val="00853A8F"/>
    <w:rsid w:val="0085443D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024"/>
    <w:rsid w:val="00881315"/>
    <w:rsid w:val="008816AB"/>
    <w:rsid w:val="00881B83"/>
    <w:rsid w:val="008821D7"/>
    <w:rsid w:val="00882544"/>
    <w:rsid w:val="00882995"/>
    <w:rsid w:val="00882DA7"/>
    <w:rsid w:val="00883089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AE2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B57"/>
    <w:rsid w:val="008E4B74"/>
    <w:rsid w:val="008E4C42"/>
    <w:rsid w:val="008E4CE9"/>
    <w:rsid w:val="008E4EA7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09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892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93C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7A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B09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8EB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1F3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251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DA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6D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493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7A5"/>
    <w:rsid w:val="009A6B35"/>
    <w:rsid w:val="009A6C79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8A5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2B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12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71E"/>
    <w:rsid w:val="00A4276B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B3"/>
    <w:rsid w:val="00A66FF8"/>
    <w:rsid w:val="00A6704E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B43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56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66A"/>
    <w:rsid w:val="00A9568E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01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9A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7C5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1E6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438"/>
    <w:rsid w:val="00AF4843"/>
    <w:rsid w:val="00AF4CEF"/>
    <w:rsid w:val="00AF5246"/>
    <w:rsid w:val="00AF5668"/>
    <w:rsid w:val="00AF5E63"/>
    <w:rsid w:val="00AF5ED6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AF7EAC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92D"/>
    <w:rsid w:val="00B14EC5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0FC4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3D02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B66"/>
    <w:rsid w:val="00B27E4C"/>
    <w:rsid w:val="00B27EA5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B0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CE6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022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C99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0AC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7C5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EA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3FE4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EF2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0EC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AED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F0E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6F9E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A86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148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7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7F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862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5B0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0F73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60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32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1B8C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019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B1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06"/>
    <w:rsid w:val="00DB0EF1"/>
    <w:rsid w:val="00DB1139"/>
    <w:rsid w:val="00DB1BC7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19D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7DE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4F9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612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445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ABA"/>
    <w:rsid w:val="00E22BF9"/>
    <w:rsid w:val="00E23385"/>
    <w:rsid w:val="00E2343C"/>
    <w:rsid w:val="00E23484"/>
    <w:rsid w:val="00E234AC"/>
    <w:rsid w:val="00E238DD"/>
    <w:rsid w:val="00E23B3F"/>
    <w:rsid w:val="00E23C6C"/>
    <w:rsid w:val="00E2444D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A57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5EFC"/>
    <w:rsid w:val="00E35FFE"/>
    <w:rsid w:val="00E362D6"/>
    <w:rsid w:val="00E36408"/>
    <w:rsid w:val="00E36599"/>
    <w:rsid w:val="00E367E4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0C0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26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480C"/>
    <w:rsid w:val="00E54B51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CC6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0F3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0F53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43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5DF4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3F03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0EB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67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56C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1CF0"/>
    <w:rsid w:val="00EF2009"/>
    <w:rsid w:val="00EF216D"/>
    <w:rsid w:val="00EF2BAD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189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9E3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CCA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39A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1BA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4A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8FD"/>
    <w:rsid w:val="00F86ABD"/>
    <w:rsid w:val="00F870E8"/>
    <w:rsid w:val="00F87CF9"/>
    <w:rsid w:val="00F87D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647"/>
    <w:rsid w:val="00F9385B"/>
    <w:rsid w:val="00F93886"/>
    <w:rsid w:val="00F93939"/>
    <w:rsid w:val="00F9395E"/>
    <w:rsid w:val="00F93BD4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66F2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C12"/>
    <w:rsid w:val="00FB5D4B"/>
    <w:rsid w:val="00FB67BE"/>
    <w:rsid w:val="00FB6B60"/>
    <w:rsid w:val="00FB6B93"/>
    <w:rsid w:val="00FB6C25"/>
    <w:rsid w:val="00FB7165"/>
    <w:rsid w:val="00FB7403"/>
    <w:rsid w:val="00FB7729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7B2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9C4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906"/>
    <w:rsid w:val="00FE7ADB"/>
    <w:rsid w:val="00FE7D08"/>
    <w:rsid w:val="00FE7D65"/>
    <w:rsid w:val="00FE7E09"/>
    <w:rsid w:val="00FF035A"/>
    <w:rsid w:val="00FF06B8"/>
    <w:rsid w:val="00FF0771"/>
    <w:rsid w:val="00FF08C2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0C0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,Char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,level 2,2nd level,†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ind w:left="1135" w:hanging="851"/>
    </w:pPr>
    <w:rPr>
      <w:rFonts w:eastAsia="Malgun Gothic"/>
      <w:color w:val="FF0000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List2"/>
    <w:link w:val="B2Char"/>
    <w:qFormat/>
    <w:rPr>
      <w:rFonts w:eastAsia="Malgun Gothic"/>
    </w:rPr>
  </w:style>
  <w:style w:type="paragraph" w:customStyle="1" w:styleId="B3">
    <w:name w:val="B3"/>
    <w:basedOn w:val="List3"/>
    <w:link w:val="B3Char"/>
    <w:qFormat/>
    <w:rPr>
      <w:lang w:val="x-none"/>
    </w:rPr>
  </w:style>
  <w:style w:type="paragraph" w:customStyle="1" w:styleId="B4">
    <w:name w:val="B4"/>
    <w:basedOn w:val="List4"/>
    <w:link w:val="B4Char"/>
    <w:rPr>
      <w:lang w:val="x-none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qFormat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EW">
    <w:name w:val="EW"/>
    <w:basedOn w:val="EX"/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eastAsia="MS Mincho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" w:hAnsi="Times"/>
      <w:b/>
      <w:bCs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ind w:left="720"/>
      <w:contextualSpacing/>
    </w:p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</w:p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cs="SimSun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7450E"/>
    <w:pPr>
      <w:ind w:left="720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</w:pPr>
    <w:rPr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" w:eastAsia="Batang" w:hAnsi="Times"/>
      <w:szCs w:val="24"/>
      <w:lang w:val="x-none" w:eastAsia="x-none"/>
    </w:rPr>
  </w:style>
  <w:style w:type="character" w:customStyle="1" w:styleId="CommentTextChar">
    <w:name w:val="Comment Text Char"/>
    <w:link w:val="CommentText"/>
    <w:uiPriority w:val="99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2"/>
      </w:numPr>
      <w:spacing w:before="60"/>
    </w:pPr>
    <w:rPr>
      <w:rFonts w:eastAsia="MS Mincho"/>
      <w:b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</w:style>
  <w:style w:type="paragraph" w:customStyle="1" w:styleId="a2">
    <w:name w:val="表格题注"/>
    <w:basedOn w:val="Normal"/>
    <w:rsid w:val="00E03D28"/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spacing w:before="40"/>
    </w:pPr>
    <w:rPr>
      <w:rFonts w:eastAsia="MS Mincho"/>
      <w:b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" w:eastAsia="MS Mincho" w:hAnsi="Times"/>
      <w:b/>
      <w:szCs w:val="24"/>
      <w:lang w:val="en-GB" w:eastAsia="en-US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5"/>
      </w:numPr>
      <w:snapToGrid w:val="0"/>
      <w:spacing w:after="60"/>
    </w:pPr>
    <w:rPr>
      <w:szCs w:val="16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spacing w:before="100" w:beforeAutospacing="1" w:after="100" w:afterAutospacing="1"/>
    </w:pPr>
    <w:rPr>
      <w:rFonts w:ascii="SimSun" w:hAnsi="SimSun" w:cs="SimSun"/>
      <w:sz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snapToGrid w:val="0"/>
    </w:pPr>
    <w:rPr>
      <w:sz w:val="22"/>
      <w:szCs w:val="22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  <w:style w:type="table" w:customStyle="1" w:styleId="1">
    <w:name w:val="网格型1"/>
    <w:basedOn w:val="TableNormal"/>
    <w:next w:val="TableGrid"/>
    <w:uiPriority w:val="39"/>
    <w:qFormat/>
    <w:rsid w:val="007670B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27EB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2C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SimSun" w:hAnsi="Arial"/>
      <w:lang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level 2 Char,2nd level Char,†berschrift 2 Char"/>
    <w:basedOn w:val="DefaultParagraphFont"/>
    <w:link w:val="Heading2"/>
    <w:rsid w:val="001319AB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DefaultParagraphFont"/>
    <w:link w:val="Heading3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DefaultParagraphFont"/>
    <w:rsid w:val="00996B5A"/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Normal"/>
    <w:link w:val="ProposallistChar"/>
    <w:qFormat/>
    <w:rsid w:val="009E1F9F"/>
    <w:pPr>
      <w:tabs>
        <w:tab w:val="left" w:pos="1560"/>
      </w:tabs>
      <w:ind w:left="1560" w:hanging="1134"/>
    </w:pPr>
    <w:rPr>
      <w:rFonts w:eastAsia="SimSun"/>
      <w:b/>
    </w:rPr>
  </w:style>
  <w:style w:type="character" w:customStyle="1" w:styleId="ProposallistChar">
    <w:name w:val="Proposal list Char"/>
    <w:basedOn w:val="DefaultParagraphFont"/>
    <w:link w:val="Proposallist"/>
    <w:rsid w:val="009E1F9F"/>
    <w:rPr>
      <w:rFonts w:ascii="Times New Roman" w:eastAsia="SimSun" w:hAnsi="Times New Roman"/>
      <w:b/>
      <w:lang w:val="en-GB" w:eastAsia="en-US"/>
    </w:rPr>
  </w:style>
  <w:style w:type="paragraph" w:customStyle="1" w:styleId="FirstChange">
    <w:name w:val="First Change"/>
    <w:basedOn w:val="Normal"/>
    <w:qFormat/>
    <w:rsid w:val="009E1F9F"/>
    <w:pPr>
      <w:jc w:val="center"/>
    </w:pPr>
    <w:rPr>
      <w:rFonts w:eastAsia="SimSun"/>
      <w:color w:val="FF0000"/>
    </w:rPr>
  </w:style>
  <w:style w:type="character" w:customStyle="1" w:styleId="2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D95019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394BA-1A67-4EDD-B130-45E798E7B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</Pages>
  <Words>737</Words>
  <Characters>4204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zhushichao (A)</dc:creator>
  <cp:lastModifiedBy>Huawei - Jagdeep</cp:lastModifiedBy>
  <cp:revision>2</cp:revision>
  <cp:lastPrinted>2016-09-19T04:11:00Z</cp:lastPrinted>
  <dcterms:created xsi:type="dcterms:W3CDTF">2025-08-14T21:59:00Z</dcterms:created>
  <dcterms:modified xsi:type="dcterms:W3CDTF">2025-08-14T21:59:00Z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(3)M5yCU1j4TcKQH2EsJpDhiOtxOKNy38HyrlBvcYO7leusfAt345vQNSJHSEUIDFHdGIpcq+4g
7Tgsm3Y9eru7wcvEExp+cBkiqcd7Mr0gMlBIz+jAVzKad5Qy3sUmKIHMNxAwwUJzIsgurgcM
4gNDFgTJR5vhoFLmm4SPRb5tY1Fiqj+674wQGc80StPjyMpskkJbkOBkp7/CZ1lhzESPTTGZ
E7vnt6EnTNVPD6CHIi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93WxHLq8vUKoiJu1INCc70TiNrb5Vjwj6I220RDy+no2fBApd3Vyht
UC3TlEb6FaRTAeP5wCkFhgp8J9K6W19oxtfIMVHtcYoKuzxlh72zRBn3ng/pg8YpXyoNXfDA
0eykwecmB+paozPa8w1EcJ942zay9J0NRds6QuIRFNCXbfy+m/r8kFgGQFJb63R8DgkNfqdF
K6119r5qudSJOsaQdnT/quYprOUDFe+rIYHU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bw==</vt:lpwstr>
  </property>
  <property fmtid="{D5CDD505-2E9C-101B-9397-08002B2CF9AE}" pid="29" name="KeyAssetLabel_HuaWei">
    <vt:lpwstr>{Ys1yDUuaPCijmwFsQb9Sry0Px6zIGZ}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1754292264</vt:lpwstr>
  </property>
</Properties>
</file>